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0D" w:rsidRDefault="0047000D" w:rsidP="0047000D">
      <w:pPr>
        <w:pStyle w:val="Naslov"/>
        <w:rPr>
          <w:sz w:val="36"/>
        </w:rPr>
      </w:pPr>
      <w:r>
        <w:t xml:space="preserve">TASKI </w:t>
      </w:r>
      <w:proofErr w:type="spellStart"/>
      <w:r>
        <w:t>Jontec</w:t>
      </w:r>
      <w:proofErr w:type="spellEnd"/>
      <w:r>
        <w:t xml:space="preserve"> ESD </w:t>
      </w:r>
      <w:r>
        <w:rPr>
          <w:sz w:val="36"/>
        </w:rPr>
        <w:t>F2k</w:t>
      </w:r>
    </w:p>
    <w:p w:rsidR="0047000D" w:rsidRDefault="0047000D" w:rsidP="0047000D">
      <w:pPr>
        <w:spacing w:before="94"/>
        <w:ind w:left="1416"/>
        <w:rPr>
          <w:b/>
          <w:sz w:val="28"/>
        </w:rPr>
      </w:pPr>
      <w:r>
        <w:rPr>
          <w:b/>
          <w:sz w:val="28"/>
        </w:rPr>
        <w:t>ESD premaz za talne površine.</w:t>
      </w:r>
    </w:p>
    <w:p w:rsidR="0047000D" w:rsidRDefault="0047000D" w:rsidP="0047000D">
      <w:pPr>
        <w:pStyle w:val="Naslov1"/>
        <w:spacing w:before="324"/>
      </w:pPr>
      <w:r>
        <w:t>OPIS:</w:t>
      </w:r>
    </w:p>
    <w:p w:rsidR="0047000D" w:rsidRDefault="0047000D" w:rsidP="0047000D">
      <w:pPr>
        <w:pStyle w:val="Telobesedila"/>
        <w:spacing w:before="44" w:line="285" w:lineRule="auto"/>
        <w:ind w:left="1416" w:right="1417"/>
        <w:jc w:val="both"/>
      </w:pPr>
      <w:r>
        <w:t>Prevoden premaz posebej razvit za razbijanje električnih nabojev čez površino katere koli vrste talne površine ali vodeno v tla na prevodnih talnih površinah. Oblikuje topel, visoko sijoč zaščitni film, ki se lahko vzdržuje z številnimi metodami vzdrževanja. Idealna rešitev za področja, kjer se soočate s vprašanjem</w:t>
      </w:r>
      <w:r>
        <w:rPr>
          <w:spacing w:val="-5"/>
        </w:rPr>
        <w:t xml:space="preserve"> </w:t>
      </w:r>
      <w:r>
        <w:t>statičnih</w:t>
      </w:r>
      <w:r>
        <w:rPr>
          <w:spacing w:val="-4"/>
        </w:rPr>
        <w:t xml:space="preserve"> </w:t>
      </w:r>
      <w:r>
        <w:t>nabojev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ESD</w:t>
      </w:r>
      <w:r>
        <w:rPr>
          <w:spacing w:val="1"/>
        </w:rPr>
        <w:t xml:space="preserve"> </w:t>
      </w:r>
      <w:r>
        <w:t>odobrene</w:t>
      </w:r>
      <w:r>
        <w:rPr>
          <w:spacing w:val="-4"/>
        </w:rPr>
        <w:t xml:space="preserve"> </w:t>
      </w:r>
      <w:r>
        <w:t>talne</w:t>
      </w:r>
      <w:r>
        <w:rPr>
          <w:spacing w:val="-4"/>
        </w:rPr>
        <w:t xml:space="preserve"> </w:t>
      </w:r>
      <w:r>
        <w:t>površine</w:t>
      </w:r>
      <w:r>
        <w:rPr>
          <w:spacing w:val="-4"/>
        </w:rPr>
        <w:t xml:space="preserve"> </w:t>
      </w:r>
      <w:r>
        <w:t>kot</w:t>
      </w:r>
      <w:r>
        <w:rPr>
          <w:spacing w:val="-3"/>
        </w:rPr>
        <w:t xml:space="preserve"> </w:t>
      </w:r>
      <w:r>
        <w:t>pomoč</w:t>
      </w:r>
      <w:r>
        <w:rPr>
          <w:spacing w:val="-4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čiščenju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vzdrževanju dobrega izgleda talne</w:t>
      </w:r>
      <w:r>
        <w:rPr>
          <w:spacing w:val="-2"/>
        </w:rPr>
        <w:t xml:space="preserve"> </w:t>
      </w:r>
      <w:r>
        <w:t>površine.</w:t>
      </w:r>
    </w:p>
    <w:p w:rsidR="0047000D" w:rsidRDefault="0047000D" w:rsidP="0047000D">
      <w:pPr>
        <w:pStyle w:val="Telobesedila"/>
        <w:spacing w:before="6"/>
        <w:rPr>
          <w:sz w:val="23"/>
        </w:rPr>
      </w:pPr>
    </w:p>
    <w:p w:rsidR="0047000D" w:rsidRDefault="0047000D" w:rsidP="0047000D">
      <w:pPr>
        <w:pStyle w:val="Naslov1"/>
      </w:pPr>
      <w:r>
        <w:t>KLJUČNE LASTNOSTI: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spacing w:before="31"/>
        <w:ind w:hanging="361"/>
        <w:rPr>
          <w:sz w:val="20"/>
        </w:rPr>
      </w:pPr>
      <w:r>
        <w:rPr>
          <w:sz w:val="20"/>
        </w:rPr>
        <w:t>Visoko svetleč, topel zaščitni</w:t>
      </w:r>
      <w:r>
        <w:rPr>
          <w:spacing w:val="-1"/>
          <w:sz w:val="20"/>
        </w:rPr>
        <w:t xml:space="preserve"> </w:t>
      </w:r>
      <w:r>
        <w:rPr>
          <w:sz w:val="20"/>
        </w:rPr>
        <w:t>sloj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spacing w:before="26"/>
        <w:ind w:hanging="361"/>
        <w:rPr>
          <w:sz w:val="20"/>
        </w:rPr>
      </w:pPr>
      <w:r>
        <w:rPr>
          <w:sz w:val="20"/>
        </w:rPr>
        <w:t xml:space="preserve">Okrepljen z </w:t>
      </w:r>
      <w:proofErr w:type="spellStart"/>
      <w:r>
        <w:rPr>
          <w:sz w:val="20"/>
        </w:rPr>
        <w:t>Avetran</w:t>
      </w:r>
      <w:proofErr w:type="spellEnd"/>
      <w:r>
        <w:rPr>
          <w:rFonts w:ascii="Symbol" w:hAnsi="Symbol"/>
          <w:sz w:val="20"/>
        </w:rPr>
        <w:t>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 zagotavljanje ESD</w:t>
      </w:r>
      <w:r>
        <w:rPr>
          <w:spacing w:val="8"/>
          <w:sz w:val="20"/>
        </w:rPr>
        <w:t xml:space="preserve"> </w:t>
      </w:r>
      <w:r>
        <w:rPr>
          <w:sz w:val="20"/>
        </w:rPr>
        <w:t>zmožnosti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ind w:hanging="361"/>
        <w:rPr>
          <w:sz w:val="20"/>
        </w:rPr>
      </w:pPr>
      <w:r>
        <w:rPr>
          <w:sz w:val="20"/>
        </w:rPr>
        <w:t>ESD odobritev s strani neodvisnih laboratorijev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ind w:hanging="361"/>
        <w:rPr>
          <w:sz w:val="20"/>
        </w:rPr>
      </w:pPr>
      <w:r>
        <w:rPr>
          <w:sz w:val="20"/>
        </w:rPr>
        <w:t>Proti drseč zaščitni film v skladu z mednarodnimi standardi (ASTM</w:t>
      </w:r>
      <w:r>
        <w:rPr>
          <w:spacing w:val="-6"/>
          <w:sz w:val="20"/>
        </w:rPr>
        <w:t xml:space="preserve"> </w:t>
      </w:r>
      <w:r>
        <w:rPr>
          <w:sz w:val="20"/>
        </w:rPr>
        <w:t>D-2047).</w:t>
      </w:r>
    </w:p>
    <w:p w:rsidR="0047000D" w:rsidRDefault="0047000D" w:rsidP="0047000D">
      <w:pPr>
        <w:pStyle w:val="Telobesedila"/>
        <w:spacing w:before="5"/>
        <w:rPr>
          <w:sz w:val="27"/>
        </w:rPr>
      </w:pPr>
    </w:p>
    <w:p w:rsidR="0047000D" w:rsidRDefault="0047000D" w:rsidP="0047000D">
      <w:pPr>
        <w:pStyle w:val="Naslov1"/>
      </w:pPr>
      <w:r>
        <w:t>PREDNOSTI: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spacing w:before="30"/>
        <w:ind w:hanging="361"/>
        <w:rPr>
          <w:sz w:val="20"/>
        </w:rPr>
      </w:pPr>
      <w:r>
        <w:rPr>
          <w:sz w:val="20"/>
        </w:rPr>
        <w:t>Zaščiti talne površine pred poškodbami visokega prehodnega</w:t>
      </w:r>
      <w:r>
        <w:rPr>
          <w:spacing w:val="11"/>
          <w:sz w:val="20"/>
        </w:rPr>
        <w:t xml:space="preserve"> </w:t>
      </w:r>
      <w:r>
        <w:rPr>
          <w:sz w:val="20"/>
        </w:rPr>
        <w:t>prometa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spacing w:before="26"/>
        <w:ind w:hanging="361"/>
        <w:rPr>
          <w:sz w:val="20"/>
        </w:rPr>
      </w:pPr>
      <w:r>
        <w:rPr>
          <w:sz w:val="20"/>
        </w:rPr>
        <w:t>Poenostavi</w:t>
      </w:r>
      <w:r>
        <w:rPr>
          <w:spacing w:val="1"/>
          <w:sz w:val="20"/>
        </w:rPr>
        <w:t xml:space="preserve"> </w:t>
      </w:r>
      <w:r>
        <w:rPr>
          <w:sz w:val="20"/>
        </w:rPr>
        <w:t>čiščenje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ind w:hanging="361"/>
        <w:rPr>
          <w:sz w:val="20"/>
        </w:rPr>
      </w:pPr>
      <w:r>
        <w:rPr>
          <w:w w:val="105"/>
          <w:sz w:val="20"/>
        </w:rPr>
        <w:t>Odstrani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rizike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elektrostatičnih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šokov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zaradi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tega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škodo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opremi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spacing w:before="28"/>
        <w:ind w:hanging="361"/>
        <w:rPr>
          <w:sz w:val="20"/>
        </w:rPr>
      </w:pPr>
      <w:r>
        <w:rPr>
          <w:sz w:val="20"/>
        </w:rPr>
        <w:t>Izpolnjuje osnovne zahteve IEC 61340-5-1 in EN</w:t>
      </w:r>
      <w:r>
        <w:rPr>
          <w:spacing w:val="-4"/>
          <w:sz w:val="20"/>
        </w:rPr>
        <w:t xml:space="preserve"> </w:t>
      </w:r>
      <w:r>
        <w:rPr>
          <w:sz w:val="20"/>
        </w:rPr>
        <w:t>100015-1</w:t>
      </w:r>
    </w:p>
    <w:p w:rsidR="0047000D" w:rsidRDefault="0047000D" w:rsidP="0047000D">
      <w:pPr>
        <w:pStyle w:val="Odstavekseznama"/>
        <w:numPr>
          <w:ilvl w:val="0"/>
          <w:numId w:val="1"/>
        </w:numPr>
        <w:tabs>
          <w:tab w:val="left" w:pos="1776"/>
          <w:tab w:val="left" w:pos="1777"/>
        </w:tabs>
        <w:ind w:hanging="361"/>
        <w:rPr>
          <w:sz w:val="20"/>
        </w:rPr>
      </w:pPr>
      <w:r>
        <w:rPr>
          <w:sz w:val="20"/>
        </w:rPr>
        <w:t>Garantira varnost za vaše zaposlene, paciente in</w:t>
      </w:r>
      <w:r>
        <w:rPr>
          <w:spacing w:val="-6"/>
          <w:sz w:val="20"/>
        </w:rPr>
        <w:t xml:space="preserve"> </w:t>
      </w:r>
      <w:r>
        <w:rPr>
          <w:sz w:val="20"/>
        </w:rPr>
        <w:t>stranke</w:t>
      </w:r>
    </w:p>
    <w:p w:rsidR="0047000D" w:rsidRDefault="0047000D" w:rsidP="0047000D">
      <w:pPr>
        <w:pStyle w:val="Telobesedila"/>
        <w:spacing w:before="5"/>
        <w:rPr>
          <w:sz w:val="27"/>
        </w:rPr>
      </w:pPr>
    </w:p>
    <w:p w:rsidR="0047000D" w:rsidRDefault="0047000D" w:rsidP="0047000D">
      <w:pPr>
        <w:pStyle w:val="Naslov1"/>
      </w:pPr>
      <w:r>
        <w:t>NAVODILA ZA UPORABO:</w:t>
      </w:r>
    </w:p>
    <w:p w:rsidR="0047000D" w:rsidRDefault="0047000D" w:rsidP="0047000D">
      <w:pPr>
        <w:spacing w:before="42"/>
        <w:ind w:left="1416"/>
        <w:rPr>
          <w:b/>
          <w:sz w:val="20"/>
        </w:rPr>
      </w:pPr>
      <w:r>
        <w:rPr>
          <w:b/>
          <w:sz w:val="20"/>
        </w:rPr>
        <w:t>Doziranje:</w:t>
      </w:r>
    </w:p>
    <w:p w:rsidR="0047000D" w:rsidRDefault="0047000D" w:rsidP="0047000D">
      <w:pPr>
        <w:pStyle w:val="Telobesedila"/>
        <w:spacing w:before="43"/>
        <w:ind w:left="1416"/>
      </w:pPr>
      <w:proofErr w:type="spellStart"/>
      <w:r>
        <w:t>Taski</w:t>
      </w:r>
      <w:proofErr w:type="spellEnd"/>
      <w:r>
        <w:t xml:space="preserve"> </w:t>
      </w:r>
      <w:proofErr w:type="spellStart"/>
      <w:r>
        <w:t>Jontec</w:t>
      </w:r>
      <w:proofErr w:type="spellEnd"/>
      <w:r>
        <w:t xml:space="preserve"> ESD je pripravljen za uporabo, se ne redči.</w:t>
      </w:r>
    </w:p>
    <w:p w:rsidR="0047000D" w:rsidRDefault="0047000D" w:rsidP="0047000D">
      <w:pPr>
        <w:pStyle w:val="Telobesedila"/>
        <w:spacing w:before="4"/>
        <w:rPr>
          <w:sz w:val="32"/>
        </w:rPr>
      </w:pPr>
    </w:p>
    <w:p w:rsidR="0047000D" w:rsidRDefault="0047000D" w:rsidP="0047000D">
      <w:pPr>
        <w:pStyle w:val="Naslov1"/>
        <w:spacing w:before="1"/>
      </w:pPr>
      <w:r>
        <w:t>Uporaba:</w:t>
      </w:r>
    </w:p>
    <w:p w:rsidR="0047000D" w:rsidRDefault="0047000D" w:rsidP="0047000D">
      <w:pPr>
        <w:pStyle w:val="Telobesedila"/>
        <w:spacing w:before="43" w:line="285" w:lineRule="auto"/>
        <w:ind w:left="1416" w:right="1414"/>
        <w:jc w:val="both"/>
      </w:pPr>
      <w:r>
        <w:t xml:space="preserve">Obdelamo samo tiste talne površine iz katerih odstranimo stare premazne sloje, jih dobro speremo in temeljito posušimo. Sredstvo varčno polijemo na talno površino in enakomerno razporedimo z </w:t>
      </w:r>
      <w:proofErr w:type="spellStart"/>
      <w:r>
        <w:t>aplikatorjem</w:t>
      </w:r>
      <w:proofErr w:type="spellEnd"/>
      <w:r>
        <w:t xml:space="preserve"> za nanos premaza v prekrivajočih pasovih od 1 do 1,5 metra, dokler je še mokro. Pri nadaljnjem</w:t>
      </w:r>
      <w:r>
        <w:rPr>
          <w:spacing w:val="-9"/>
        </w:rPr>
        <w:t xml:space="preserve"> </w:t>
      </w:r>
      <w:r>
        <w:t>nanosu</w:t>
      </w:r>
      <w:r>
        <w:rPr>
          <w:spacing w:val="-7"/>
        </w:rPr>
        <w:t xml:space="preserve"> </w:t>
      </w:r>
      <w:r>
        <w:t>pustimo,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predhodni</w:t>
      </w:r>
      <w:r>
        <w:rPr>
          <w:spacing w:val="-6"/>
        </w:rPr>
        <w:t xml:space="preserve"> </w:t>
      </w:r>
      <w:r>
        <w:t>sloj</w:t>
      </w:r>
      <w:r>
        <w:rPr>
          <w:spacing w:val="-6"/>
        </w:rPr>
        <w:t xml:space="preserve"> </w:t>
      </w:r>
      <w:r>
        <w:t>dobro</w:t>
      </w:r>
      <w:r>
        <w:rPr>
          <w:spacing w:val="-10"/>
        </w:rPr>
        <w:t xml:space="preserve"> </w:t>
      </w:r>
      <w:r>
        <w:t>posuši</w:t>
      </w:r>
      <w:r>
        <w:rPr>
          <w:spacing w:val="-7"/>
        </w:rPr>
        <w:t xml:space="preserve"> </w:t>
      </w:r>
      <w:r>
        <w:t>(minimalno</w:t>
      </w:r>
      <w:r>
        <w:rPr>
          <w:spacing w:val="-8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minut).</w:t>
      </w:r>
      <w:r>
        <w:rPr>
          <w:spacing w:val="-6"/>
        </w:rPr>
        <w:t xml:space="preserve"> </w:t>
      </w:r>
      <w:r>
        <w:t>Vedno</w:t>
      </w:r>
      <w:r>
        <w:rPr>
          <w:spacing w:val="-8"/>
        </w:rPr>
        <w:t xml:space="preserve"> </w:t>
      </w:r>
      <w:r>
        <w:t>nanesemo 3 sloje. Po nanosu zadnjega sloja pustimo najmanj 60 minut, da se premaz posuši preden odpremo območje nanosa</w:t>
      </w:r>
      <w:r>
        <w:rPr>
          <w:spacing w:val="-1"/>
        </w:rPr>
        <w:t xml:space="preserve"> </w:t>
      </w:r>
      <w:r>
        <w:t>premaza.</w:t>
      </w:r>
    </w:p>
    <w:p w:rsidR="0047000D" w:rsidRDefault="0047000D" w:rsidP="0047000D">
      <w:pPr>
        <w:pStyle w:val="Telobesedila"/>
        <w:spacing w:line="285" w:lineRule="auto"/>
        <w:ind w:left="1416" w:right="1419"/>
        <w:jc w:val="both"/>
      </w:pPr>
      <w:r>
        <w:t>Da obdržimo zmožnost statičnega razbijanja in visokega sijaja ponovno nanesemo premaz vsake 3 mesece v območjih srednjega do visokega prehodnega prometa; v območjih nizkega prehodnega prometa pa vsake 6 mesecev.</w:t>
      </w:r>
    </w:p>
    <w:p w:rsidR="0047000D" w:rsidRDefault="0047000D" w:rsidP="0047000D">
      <w:pPr>
        <w:pStyle w:val="Telobesedila"/>
        <w:spacing w:before="2"/>
        <w:rPr>
          <w:sz w:val="28"/>
        </w:rPr>
      </w:pPr>
    </w:p>
    <w:p w:rsidR="0047000D" w:rsidRDefault="0047000D" w:rsidP="0047000D">
      <w:pPr>
        <w:pStyle w:val="Naslov1"/>
      </w:pPr>
      <w:r>
        <w:t xml:space="preserve">TASKI </w:t>
      </w:r>
      <w:proofErr w:type="spellStart"/>
      <w:r>
        <w:t>Jontec</w:t>
      </w:r>
      <w:proofErr w:type="spellEnd"/>
      <w:r>
        <w:t xml:space="preserve"> ESD</w:t>
      </w:r>
    </w:p>
    <w:p w:rsidR="0047000D" w:rsidRDefault="0047000D" w:rsidP="0047000D">
      <w:pPr>
        <w:pStyle w:val="Telobesedila"/>
        <w:spacing w:before="8"/>
        <w:rPr>
          <w:b/>
          <w:sz w:val="27"/>
        </w:rPr>
      </w:pPr>
    </w:p>
    <w:p w:rsidR="0047000D" w:rsidRDefault="0047000D" w:rsidP="0047000D">
      <w:pPr>
        <w:ind w:left="1416"/>
        <w:rPr>
          <w:b/>
          <w:sz w:val="24"/>
        </w:rPr>
      </w:pPr>
      <w:r>
        <w:rPr>
          <w:b/>
          <w:sz w:val="24"/>
        </w:rPr>
        <w:t>Vzdrževanje:</w:t>
      </w: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spacing w:before="11"/>
        <w:ind w:left="1416"/>
        <w:jc w:val="both"/>
        <w:rPr>
          <w:sz w:val="20"/>
        </w:rPr>
      </w:pPr>
      <w:r>
        <w:rPr>
          <w:sz w:val="20"/>
        </w:rPr>
        <w:t xml:space="preserve">Vedno pustite nov nanos premaza pri miru 48 ur preden pričnete kakršno koli </w:t>
      </w:r>
      <w:r>
        <w:rPr>
          <w:sz w:val="20"/>
        </w:rPr>
        <w:lastRenderedPageBreak/>
        <w:t>vzdrževanje.</w:t>
      </w:r>
    </w:p>
    <w:p w:rsidR="0047000D" w:rsidRDefault="0047000D" w:rsidP="0047000D">
      <w:pPr>
        <w:spacing w:before="44" w:line="285" w:lineRule="auto"/>
        <w:ind w:left="1416" w:right="1427"/>
        <w:jc w:val="both"/>
        <w:rPr>
          <w:sz w:val="20"/>
        </w:rPr>
      </w:pPr>
      <w:r>
        <w:rPr>
          <w:sz w:val="20"/>
        </w:rPr>
        <w:t xml:space="preserve">Dnevno odstranite prah z suhim brisanjem talne površine. Vzdržujte z sredstvom </w:t>
      </w:r>
      <w:proofErr w:type="spellStart"/>
      <w:r>
        <w:rPr>
          <w:sz w:val="20"/>
        </w:rPr>
        <w:t>Taski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Jontec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Destat</w:t>
      </w:r>
      <w:proofErr w:type="spellEnd"/>
      <w:r>
        <w:rPr>
          <w:sz w:val="20"/>
        </w:rPr>
        <w:t xml:space="preserve"> za zagotavljanje statičnega razbijanja.</w:t>
      </w:r>
    </w:p>
    <w:p w:rsidR="0047000D" w:rsidRDefault="0047000D" w:rsidP="0047000D">
      <w:pPr>
        <w:spacing w:line="285" w:lineRule="auto"/>
        <w:ind w:left="1416" w:right="1415"/>
        <w:jc w:val="both"/>
        <w:rPr>
          <w:sz w:val="20"/>
        </w:rPr>
      </w:pPr>
      <w:r>
        <w:rPr>
          <w:w w:val="105"/>
          <w:sz w:val="20"/>
        </w:rPr>
        <w:t>Nanesite</w:t>
      </w:r>
      <w:r>
        <w:rPr>
          <w:spacing w:val="-3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Taski</w:t>
      </w:r>
      <w:proofErr w:type="spellEnd"/>
      <w:r>
        <w:rPr>
          <w:spacing w:val="-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Jontec</w:t>
      </w:r>
      <w:proofErr w:type="spellEnd"/>
      <w:r>
        <w:rPr>
          <w:spacing w:val="-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Destat</w:t>
      </w:r>
      <w:proofErr w:type="spellEnd"/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krat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teden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območjih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srednjega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visokega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prehodnega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prometa. Nanesite 1 krat tedensko ali po potrebi v območjih nizkega prehodnega prometa. Po uporabi ne spirajte talne površine. V suhih okoljih nanesite 3 krat tedensko, da ohranimo nizek nivo statične elektrike/nabojev.</w:t>
      </w: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rPr>
          <w:sz w:val="24"/>
        </w:rPr>
      </w:pPr>
    </w:p>
    <w:p w:rsidR="0047000D" w:rsidRDefault="0047000D" w:rsidP="0047000D">
      <w:pPr>
        <w:pStyle w:val="Naslov1"/>
        <w:spacing w:before="112"/>
      </w:pPr>
      <w:r>
        <w:t>Pomembno:</w:t>
      </w:r>
    </w:p>
    <w:p w:rsidR="0047000D" w:rsidRDefault="0047000D" w:rsidP="0047000D">
      <w:pPr>
        <w:pStyle w:val="Telobesedila"/>
        <w:spacing w:before="43" w:line="276" w:lineRule="auto"/>
        <w:ind w:left="1416" w:right="1417"/>
        <w:jc w:val="both"/>
      </w:pPr>
      <w:r>
        <w:t>Sredstva ne mešamo z drugimi sredstvi oziroma ga ne redčimo. Ne skladiščiti ali uporabljati pri temperaturah pod 5</w:t>
      </w:r>
      <w:r>
        <w:rPr>
          <w:rFonts w:ascii="Symbol" w:hAnsi="Symbol"/>
        </w:rPr>
        <w:t></w:t>
      </w:r>
      <w:r>
        <w:t>C. Sredstva ne uporabljamo na prostem. Sledite navodilom in postopkom vzdrževanja.</w:t>
      </w:r>
    </w:p>
    <w:p w:rsidR="0047000D" w:rsidRDefault="0047000D" w:rsidP="0047000D">
      <w:pPr>
        <w:pStyle w:val="Telobesedila"/>
        <w:spacing w:before="5"/>
        <w:rPr>
          <w:sz w:val="24"/>
        </w:rPr>
      </w:pPr>
    </w:p>
    <w:p w:rsidR="0047000D" w:rsidRDefault="0047000D" w:rsidP="0047000D">
      <w:pPr>
        <w:pStyle w:val="Naslov1"/>
        <w:spacing w:after="29"/>
      </w:pPr>
      <w:r>
        <w:t>TEHNIČNI PODATKI:</w:t>
      </w:r>
    </w:p>
    <w:tbl>
      <w:tblPr>
        <w:tblStyle w:val="TableNormal"/>
        <w:tblW w:w="0" w:type="auto"/>
        <w:tblInd w:w="1365" w:type="dxa"/>
        <w:tblLayout w:type="fixed"/>
        <w:tblLook w:val="01E0" w:firstRow="1" w:lastRow="1" w:firstColumn="1" w:lastColumn="1" w:noHBand="0" w:noVBand="0"/>
      </w:tblPr>
      <w:tblGrid>
        <w:gridCol w:w="3144"/>
        <w:gridCol w:w="3097"/>
      </w:tblGrid>
      <w:tr w:rsidR="0047000D" w:rsidTr="00C12CB7">
        <w:trPr>
          <w:trHeight w:val="272"/>
        </w:trPr>
        <w:tc>
          <w:tcPr>
            <w:tcW w:w="3144" w:type="dxa"/>
          </w:tcPr>
          <w:p w:rsidR="0047000D" w:rsidRDefault="0047000D" w:rsidP="00C12C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Izgled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97" w:type="dxa"/>
          </w:tcPr>
          <w:p w:rsidR="0047000D" w:rsidRDefault="0047000D" w:rsidP="00C12CB7">
            <w:pPr>
              <w:pStyle w:val="TableParagraph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Mlečna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tekočina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barve</w:t>
            </w:r>
            <w:proofErr w:type="spellEnd"/>
          </w:p>
        </w:tc>
      </w:tr>
      <w:tr w:rsidR="0047000D" w:rsidTr="00C12CB7">
        <w:trPr>
          <w:trHeight w:val="272"/>
        </w:trPr>
        <w:tc>
          <w:tcPr>
            <w:tcW w:w="3144" w:type="dxa"/>
          </w:tcPr>
          <w:p w:rsidR="0047000D" w:rsidRDefault="0047000D" w:rsidP="00C12C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Specifična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teža</w:t>
            </w:r>
            <w:proofErr w:type="spellEnd"/>
            <w:r>
              <w:rPr>
                <w:sz w:val="20"/>
              </w:rPr>
              <w:t xml:space="preserve"> [g/ml; 20 °C]:</w:t>
            </w:r>
          </w:p>
        </w:tc>
        <w:tc>
          <w:tcPr>
            <w:tcW w:w="3097" w:type="dxa"/>
          </w:tcPr>
          <w:p w:rsidR="0047000D" w:rsidRDefault="0047000D" w:rsidP="00C12CB7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47000D" w:rsidTr="00C12CB7">
        <w:trPr>
          <w:trHeight w:val="272"/>
        </w:trPr>
        <w:tc>
          <w:tcPr>
            <w:tcW w:w="3144" w:type="dxa"/>
          </w:tcPr>
          <w:p w:rsidR="0047000D" w:rsidRDefault="0047000D" w:rsidP="00C12CB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5"/>
                <w:sz w:val="20"/>
              </w:rPr>
              <w:t xml:space="preserve">pH </w:t>
            </w:r>
            <w:proofErr w:type="spellStart"/>
            <w:r>
              <w:rPr>
                <w:w w:val="105"/>
                <w:sz w:val="20"/>
              </w:rPr>
              <w:t>vrednost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koncentrata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7" w:type="dxa"/>
          </w:tcPr>
          <w:p w:rsidR="0047000D" w:rsidRDefault="0047000D" w:rsidP="00C12CB7">
            <w:pPr>
              <w:pStyle w:val="TableParagraph"/>
              <w:spacing w:before="14"/>
              <w:ind w:left="368"/>
              <w:rPr>
                <w:sz w:val="20"/>
              </w:rPr>
            </w:pPr>
            <w:r>
              <w:rPr>
                <w:sz w:val="20"/>
              </w:rPr>
              <w:t>8.6 – 9.1</w:t>
            </w:r>
          </w:p>
        </w:tc>
      </w:tr>
      <w:tr w:rsidR="0047000D" w:rsidTr="00C12CB7">
        <w:trPr>
          <w:trHeight w:val="272"/>
        </w:trPr>
        <w:tc>
          <w:tcPr>
            <w:tcW w:w="3144" w:type="dxa"/>
          </w:tcPr>
          <w:p w:rsidR="0047000D" w:rsidRDefault="0047000D" w:rsidP="00C12C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Poraba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97" w:type="dxa"/>
          </w:tcPr>
          <w:p w:rsidR="0047000D" w:rsidRDefault="0047000D" w:rsidP="00C12CB7">
            <w:pPr>
              <w:pStyle w:val="TableParagraph"/>
              <w:ind w:left="368"/>
              <w:rPr>
                <w:sz w:val="12"/>
              </w:rPr>
            </w:pPr>
            <w:r>
              <w:rPr>
                <w:w w:val="105"/>
                <w:sz w:val="20"/>
              </w:rPr>
              <w:t>10-40 ml/m</w:t>
            </w:r>
            <w:r>
              <w:rPr>
                <w:w w:val="105"/>
                <w:position w:val="7"/>
                <w:sz w:val="12"/>
              </w:rPr>
              <w:t>2</w:t>
            </w:r>
          </w:p>
        </w:tc>
      </w:tr>
    </w:tbl>
    <w:p w:rsidR="0047000D" w:rsidRDefault="0047000D" w:rsidP="0047000D">
      <w:pPr>
        <w:spacing w:line="540" w:lineRule="atLeast"/>
        <w:ind w:left="1416" w:right="3470"/>
        <w:rPr>
          <w:b/>
          <w:sz w:val="20"/>
        </w:rPr>
      </w:pPr>
      <w:r>
        <w:rPr>
          <w:sz w:val="20"/>
        </w:rPr>
        <w:t xml:space="preserve">Zgoraj navedeni podatki so povprečne vrednosti in ne specificirajo proizvoda. </w:t>
      </w:r>
      <w:r>
        <w:rPr>
          <w:b/>
          <w:sz w:val="20"/>
        </w:rPr>
        <w:t>NAVODILA ZA VARNO ROKOVANJE IN SKLADIŠČENJE:</w:t>
      </w:r>
    </w:p>
    <w:p w:rsidR="0047000D" w:rsidRDefault="0047000D" w:rsidP="0047000D">
      <w:pPr>
        <w:pStyle w:val="Naslov1"/>
        <w:spacing w:before="49"/>
      </w:pPr>
      <w:r>
        <w:t>Varno rokovanje:</w:t>
      </w:r>
    </w:p>
    <w:p w:rsidR="0047000D" w:rsidRDefault="0047000D" w:rsidP="0047000D">
      <w:pPr>
        <w:pStyle w:val="Telobesedila"/>
        <w:spacing w:before="43" w:line="285" w:lineRule="auto"/>
        <w:ind w:left="1416" w:right="1415"/>
        <w:jc w:val="both"/>
      </w:pPr>
      <w:r>
        <w:t>Navodila o nevarnostih in predlogi za varno delo so zbrani v varnostnem listu. Samo za profesionalno uporabo.</w:t>
      </w:r>
    </w:p>
    <w:p w:rsidR="0047000D" w:rsidRDefault="0047000D" w:rsidP="0047000D">
      <w:pPr>
        <w:pStyle w:val="Telobesedila"/>
        <w:spacing w:before="9"/>
        <w:rPr>
          <w:sz w:val="23"/>
        </w:rPr>
      </w:pPr>
    </w:p>
    <w:p w:rsidR="0047000D" w:rsidRDefault="0047000D" w:rsidP="0047000D">
      <w:pPr>
        <w:pStyle w:val="Naslov1"/>
      </w:pPr>
      <w:r>
        <w:t>Informacije za skladiščenje:</w:t>
      </w:r>
    </w:p>
    <w:p w:rsidR="0047000D" w:rsidRDefault="0047000D" w:rsidP="0047000D">
      <w:pPr>
        <w:pStyle w:val="Telobesedila"/>
        <w:spacing w:before="30"/>
        <w:ind w:left="1416"/>
      </w:pPr>
      <w:r>
        <w:t>Sredstvo skladiščimo v originalno zaprti embalaži in ne skladiščimo pod 5</w:t>
      </w:r>
      <w:r>
        <w:rPr>
          <w:rFonts w:ascii="Symbol" w:hAnsi="Symbol"/>
        </w:rPr>
        <w:t></w:t>
      </w:r>
      <w:r>
        <w:t>C.</w:t>
      </w:r>
    </w:p>
    <w:p w:rsidR="0047000D" w:rsidRDefault="0047000D" w:rsidP="0047000D">
      <w:pPr>
        <w:pStyle w:val="Telobesedila"/>
        <w:spacing w:before="3"/>
        <w:rPr>
          <w:sz w:val="27"/>
        </w:rPr>
      </w:pPr>
    </w:p>
    <w:p w:rsidR="0047000D" w:rsidRDefault="0047000D" w:rsidP="0047000D">
      <w:pPr>
        <w:pStyle w:val="Naslov1"/>
      </w:pPr>
      <w:r>
        <w:t>ATEST:</w:t>
      </w:r>
    </w:p>
    <w:p w:rsidR="0047000D" w:rsidRDefault="0047000D" w:rsidP="0047000D">
      <w:pPr>
        <w:pStyle w:val="Telobesedila"/>
        <w:spacing w:before="44"/>
        <w:ind w:left="1416"/>
      </w:pPr>
      <w:r>
        <w:t>Testirano v skladu ASTM D-2047 za odpornost na zdrse.</w:t>
      </w:r>
    </w:p>
    <w:p w:rsidR="0047000D" w:rsidRDefault="0047000D" w:rsidP="0047000D">
      <w:pPr>
        <w:pStyle w:val="Telobesedila"/>
        <w:spacing w:before="43" w:line="285" w:lineRule="auto"/>
        <w:ind w:left="1416" w:right="3470"/>
      </w:pPr>
      <w:r>
        <w:t xml:space="preserve">ESD odobreno v skladu z SP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Institute, 03-0041, testno poročilo F309115.</w:t>
      </w:r>
    </w:p>
    <w:p w:rsidR="00A073E7" w:rsidRDefault="00A073E7">
      <w:bookmarkStart w:id="0" w:name="_GoBack"/>
      <w:bookmarkEnd w:id="0"/>
    </w:p>
    <w:sectPr w:rsidR="00A0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47273"/>
    <w:multiLevelType w:val="hybridMultilevel"/>
    <w:tmpl w:val="FC8C1C0C"/>
    <w:lvl w:ilvl="0" w:tplc="3D461188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0C1E356A">
      <w:numFmt w:val="bullet"/>
      <w:lvlText w:val="•"/>
      <w:lvlJc w:val="left"/>
      <w:pPr>
        <w:ind w:left="2792" w:hanging="360"/>
      </w:pPr>
      <w:rPr>
        <w:rFonts w:hint="default"/>
        <w:lang w:val="sl-SI" w:eastAsia="en-US" w:bidi="ar-SA"/>
      </w:rPr>
    </w:lvl>
    <w:lvl w:ilvl="2" w:tplc="ABBCE34C">
      <w:numFmt w:val="bullet"/>
      <w:lvlText w:val="•"/>
      <w:lvlJc w:val="left"/>
      <w:pPr>
        <w:ind w:left="3805" w:hanging="360"/>
      </w:pPr>
      <w:rPr>
        <w:rFonts w:hint="default"/>
        <w:lang w:val="sl-SI" w:eastAsia="en-US" w:bidi="ar-SA"/>
      </w:rPr>
    </w:lvl>
    <w:lvl w:ilvl="3" w:tplc="706EB94E">
      <w:numFmt w:val="bullet"/>
      <w:lvlText w:val="•"/>
      <w:lvlJc w:val="left"/>
      <w:pPr>
        <w:ind w:left="4817" w:hanging="360"/>
      </w:pPr>
      <w:rPr>
        <w:rFonts w:hint="default"/>
        <w:lang w:val="sl-SI" w:eastAsia="en-US" w:bidi="ar-SA"/>
      </w:rPr>
    </w:lvl>
    <w:lvl w:ilvl="4" w:tplc="689C804E">
      <w:numFmt w:val="bullet"/>
      <w:lvlText w:val="•"/>
      <w:lvlJc w:val="left"/>
      <w:pPr>
        <w:ind w:left="5830" w:hanging="360"/>
      </w:pPr>
      <w:rPr>
        <w:rFonts w:hint="default"/>
        <w:lang w:val="sl-SI" w:eastAsia="en-US" w:bidi="ar-SA"/>
      </w:rPr>
    </w:lvl>
    <w:lvl w:ilvl="5" w:tplc="A7C80D3C">
      <w:numFmt w:val="bullet"/>
      <w:lvlText w:val="•"/>
      <w:lvlJc w:val="left"/>
      <w:pPr>
        <w:ind w:left="6843" w:hanging="360"/>
      </w:pPr>
      <w:rPr>
        <w:rFonts w:hint="default"/>
        <w:lang w:val="sl-SI" w:eastAsia="en-US" w:bidi="ar-SA"/>
      </w:rPr>
    </w:lvl>
    <w:lvl w:ilvl="6" w:tplc="082269A0">
      <w:numFmt w:val="bullet"/>
      <w:lvlText w:val="•"/>
      <w:lvlJc w:val="left"/>
      <w:pPr>
        <w:ind w:left="7855" w:hanging="360"/>
      </w:pPr>
      <w:rPr>
        <w:rFonts w:hint="default"/>
        <w:lang w:val="sl-SI" w:eastAsia="en-US" w:bidi="ar-SA"/>
      </w:rPr>
    </w:lvl>
    <w:lvl w:ilvl="7" w:tplc="7CE28F8C">
      <w:numFmt w:val="bullet"/>
      <w:lvlText w:val="•"/>
      <w:lvlJc w:val="left"/>
      <w:pPr>
        <w:ind w:left="8868" w:hanging="360"/>
      </w:pPr>
      <w:rPr>
        <w:rFonts w:hint="default"/>
        <w:lang w:val="sl-SI" w:eastAsia="en-US" w:bidi="ar-SA"/>
      </w:rPr>
    </w:lvl>
    <w:lvl w:ilvl="8" w:tplc="50867F3A">
      <w:numFmt w:val="bullet"/>
      <w:lvlText w:val="•"/>
      <w:lvlJc w:val="left"/>
      <w:pPr>
        <w:ind w:left="9881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0D"/>
    <w:rsid w:val="0047000D"/>
    <w:rsid w:val="00A0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E990-BAAD-4DAC-A4B3-616D919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4700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avaden"/>
    <w:link w:val="Naslov1Znak"/>
    <w:uiPriority w:val="1"/>
    <w:qFormat/>
    <w:rsid w:val="0047000D"/>
    <w:pPr>
      <w:ind w:left="1416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47000D"/>
    <w:rPr>
      <w:rFonts w:ascii="Arial" w:eastAsia="Arial" w:hAnsi="Arial" w:cs="Arial"/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47000D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7000D"/>
    <w:rPr>
      <w:rFonts w:ascii="Arial" w:eastAsia="Arial" w:hAnsi="Arial" w:cs="Arial"/>
      <w:sz w:val="20"/>
      <w:szCs w:val="20"/>
    </w:rPr>
  </w:style>
  <w:style w:type="paragraph" w:styleId="Naslov">
    <w:name w:val="Title"/>
    <w:basedOn w:val="Navaden"/>
    <w:link w:val="NaslovZnak"/>
    <w:uiPriority w:val="1"/>
    <w:qFormat/>
    <w:rsid w:val="0047000D"/>
    <w:pPr>
      <w:spacing w:before="134"/>
      <w:ind w:left="1416"/>
    </w:pPr>
    <w:rPr>
      <w:b/>
      <w:bCs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47000D"/>
    <w:rPr>
      <w:rFonts w:ascii="Arial" w:eastAsia="Arial" w:hAnsi="Arial" w:cs="Arial"/>
      <w:b/>
      <w:bCs/>
      <w:sz w:val="56"/>
      <w:szCs w:val="56"/>
    </w:rPr>
  </w:style>
  <w:style w:type="paragraph" w:styleId="Odstavekseznama">
    <w:name w:val="List Paragraph"/>
    <w:basedOn w:val="Navaden"/>
    <w:uiPriority w:val="1"/>
    <w:qFormat/>
    <w:rsid w:val="0047000D"/>
    <w:pPr>
      <w:spacing w:before="29"/>
      <w:ind w:left="1776" w:hanging="361"/>
    </w:pPr>
  </w:style>
  <w:style w:type="table" w:customStyle="1" w:styleId="TableNormal">
    <w:name w:val="Table Normal"/>
    <w:uiPriority w:val="2"/>
    <w:semiHidden/>
    <w:unhideWhenUsed/>
    <w:qFormat/>
    <w:rsid w:val="00470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47000D"/>
    <w:pPr>
      <w:spacing w:before="1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Gorše</dc:creator>
  <cp:keywords/>
  <dc:description/>
  <cp:lastModifiedBy>Jure Gorše</cp:lastModifiedBy>
  <cp:revision>1</cp:revision>
  <dcterms:created xsi:type="dcterms:W3CDTF">2022-10-14T10:12:00Z</dcterms:created>
  <dcterms:modified xsi:type="dcterms:W3CDTF">2022-10-14T10:15:00Z</dcterms:modified>
</cp:coreProperties>
</file>